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00" w:beforeAutospacing="0" w:after="0" w:afterAutospacing="0" w:line="450" w:lineRule="atLeast"/>
        <w:jc w:val="center"/>
        <w:textAlignment w:val="baseline"/>
        <w:rPr>
          <w:b/>
          <w:sz w:val="30"/>
          <w:szCs w:val="44"/>
        </w:rPr>
      </w:pPr>
      <w:r>
        <w:rPr>
          <w:rFonts w:hint="eastAsia" w:ascii="黑体" w:hAnsi="黑体" w:eastAsia="黑体" w:cs="黑体"/>
          <w:color w:val="auto"/>
          <w:sz w:val="44"/>
          <w:szCs w:val="44"/>
        </w:rPr>
        <w:fldChar w:fldCharType="begin"/>
      </w:r>
      <w:r>
        <w:rPr>
          <w:rStyle w:val="6"/>
          <w:rFonts w:hint="eastAsia" w:ascii="黑体" w:hAnsi="黑体" w:eastAsia="黑体" w:cs="黑体"/>
          <w:color w:val="auto"/>
          <w:sz w:val="44"/>
          <w:szCs w:val="44"/>
        </w:rPr>
        <w:instrText xml:space="preserve"> HYPERLINK "http://china.findlaw.cn/info/wuquanfa/suoyouquan/yzwy/" \t "http://china.findlaw.cn/fangdichan/wuyeguanli/yezhu/yezhuy/_blank" </w:instrText>
      </w:r>
      <w:r>
        <w:rPr>
          <w:rFonts w:hint="eastAsia" w:ascii="黑体" w:hAnsi="黑体" w:eastAsia="黑体" w:cs="黑体"/>
          <w:color w:val="auto"/>
          <w:sz w:val="44"/>
          <w:szCs w:val="44"/>
        </w:rPr>
        <w:fldChar w:fldCharType="separate"/>
      </w:r>
      <w:r>
        <w:rPr>
          <w:rStyle w:val="6"/>
          <w:rFonts w:hint="eastAsia" w:ascii="黑体" w:hAnsi="黑体" w:eastAsia="黑体" w:cs="黑体"/>
          <w:color w:val="auto"/>
          <w:sz w:val="44"/>
          <w:szCs w:val="44"/>
        </w:rPr>
        <w:t>业主委员会</w:t>
      </w:r>
      <w:r>
        <w:rPr>
          <w:rFonts w:hint="eastAsia" w:ascii="黑体" w:hAnsi="黑体" w:eastAsia="黑体" w:cs="黑体"/>
          <w:color w:val="auto"/>
          <w:sz w:val="44"/>
          <w:szCs w:val="44"/>
        </w:rPr>
        <w:fldChar w:fldCharType="end"/>
      </w:r>
      <w:r>
        <w:rPr>
          <w:rStyle w:val="6"/>
          <w:rFonts w:hint="eastAsia" w:ascii="黑体" w:hAnsi="黑体" w:eastAsia="黑体" w:cs="黑体"/>
          <w:color w:val="auto"/>
          <w:sz w:val="44"/>
          <w:szCs w:val="44"/>
        </w:rPr>
        <w:t>选举办法（示范文本）</w:t>
      </w:r>
    </w:p>
    <w:p>
      <w:pPr>
        <w:rPr>
          <w:rFonts w:ascii="宋体" w:hAnsi="宋体" w:cs="宋体"/>
          <w:b/>
          <w:sz w:val="30"/>
          <w:szCs w:val="44"/>
        </w:rPr>
      </w:pPr>
    </w:p>
    <w:p>
      <w:pPr>
        <w:snapToGrid w:val="0"/>
        <w:spacing w:line="440" w:lineRule="atLeast"/>
        <w:jc w:val="center"/>
        <w:rPr>
          <w:rFonts w:hint="eastAsia" w:ascii="宋体" w:hAnsi="宋体" w:cs="宋体"/>
          <w:w w:val="90"/>
          <w:sz w:val="44"/>
          <w:szCs w:val="44"/>
        </w:rPr>
      </w:pPr>
      <w:r>
        <w:rPr>
          <w:rFonts w:hint="eastAsia" w:ascii="宋体" w:hAnsi="宋体" w:cs="宋体"/>
          <w:b/>
          <w:bCs/>
          <w:w w:val="90"/>
          <w:sz w:val="44"/>
          <w:szCs w:val="44"/>
        </w:rPr>
        <w:t>使用说明</w:t>
      </w:r>
    </w:p>
    <w:p>
      <w:pPr>
        <w:snapToGrid w:val="0"/>
        <w:spacing w:line="348" w:lineRule="auto"/>
        <w:ind w:right="928" w:rightChars="290"/>
        <w:rPr>
          <w:rFonts w:hint="eastAsia" w:ascii="宋体" w:hAnsi="宋体" w:cs="宋体"/>
          <w:szCs w:val="32"/>
        </w:rPr>
      </w:pPr>
    </w:p>
    <w:p>
      <w:pPr>
        <w:tabs>
          <w:tab w:val="left" w:pos="938"/>
        </w:tabs>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1.本办法为示范文本，适用于本行政区域内各类物业管理活动。凡物业管理区域制定业主委员会选举办法均</w:t>
      </w:r>
      <w:r>
        <w:rPr>
          <w:rFonts w:hint="eastAsia" w:ascii="仿宋" w:hAnsi="仿宋" w:eastAsia="仿宋" w:cs="仿宋"/>
          <w:sz w:val="32"/>
          <w:szCs w:val="32"/>
          <w:lang w:eastAsia="zh-CN"/>
        </w:rPr>
        <w:t>可</w:t>
      </w:r>
      <w:r>
        <w:rPr>
          <w:rFonts w:hint="eastAsia" w:ascii="仿宋" w:hAnsi="仿宋" w:eastAsia="仿宋" w:cs="仿宋"/>
          <w:sz w:val="32"/>
          <w:szCs w:val="32"/>
        </w:rPr>
        <w:t>依照本示范文本制定。</w:t>
      </w:r>
    </w:p>
    <w:p>
      <w:pPr>
        <w:tabs>
          <w:tab w:val="left" w:pos="938"/>
        </w:tabs>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2.本文</w:t>
      </w:r>
      <w:r>
        <w:rPr>
          <w:rFonts w:hint="eastAsia" w:ascii="仿宋" w:hAnsi="仿宋" w:eastAsia="仿宋" w:cs="仿宋"/>
          <w:sz w:val="32"/>
          <w:szCs w:val="32"/>
          <w:lang w:eastAsia="zh-CN"/>
        </w:rPr>
        <w:t>仅</w:t>
      </w:r>
      <w:r>
        <w:rPr>
          <w:rFonts w:hint="eastAsia" w:ascii="仿宋" w:hAnsi="仿宋" w:eastAsia="仿宋" w:cs="仿宋"/>
          <w:sz w:val="32"/>
          <w:szCs w:val="32"/>
        </w:rPr>
        <w:t>为示范文本，实际筹备选举中，首届业主大会筹备组可以根据实际情况对文本条款的内容进行选择、修改、增补或删减，但不得与国家法律法规和地方性规章、政策文件等相违背。</w:t>
      </w:r>
    </w:p>
    <w:p>
      <w:pPr>
        <w:tabs>
          <w:tab w:val="left" w:pos="938"/>
        </w:tabs>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3.制定选举办法，不得侵害业主、使用人的合法权益。</w:t>
      </w:r>
    </w:p>
    <w:p>
      <w:pPr>
        <w:rPr>
          <w:rFonts w:ascii="宋体" w:hAnsi="宋体" w:cs="宋体"/>
          <w:b/>
          <w:sz w:val="30"/>
          <w:szCs w:val="44"/>
        </w:rPr>
      </w:pPr>
    </w:p>
    <w:p>
      <w:pPr>
        <w:rPr>
          <w:rFonts w:ascii="宋体" w:hAnsi="宋体" w:cs="宋体"/>
          <w:b/>
          <w:sz w:val="30"/>
          <w:szCs w:val="44"/>
        </w:rPr>
      </w:pPr>
    </w:p>
    <w:p>
      <w:pPr>
        <w:rPr>
          <w:rFonts w:ascii="宋体" w:hAnsi="宋体" w:cs="宋体"/>
          <w:b/>
          <w:sz w:val="30"/>
          <w:szCs w:val="44"/>
        </w:rPr>
      </w:pPr>
    </w:p>
    <w:p>
      <w:pPr>
        <w:rPr>
          <w:rFonts w:ascii="宋体" w:hAnsi="宋体" w:cs="宋体"/>
          <w:b/>
          <w:sz w:val="30"/>
          <w:szCs w:val="44"/>
        </w:rPr>
      </w:pPr>
    </w:p>
    <w:p>
      <w:pPr>
        <w:rPr>
          <w:rFonts w:ascii="宋体" w:hAnsi="宋体" w:cs="宋体"/>
          <w:b/>
          <w:sz w:val="30"/>
          <w:szCs w:val="44"/>
        </w:rPr>
      </w:pPr>
    </w:p>
    <w:p>
      <w:pPr>
        <w:rPr>
          <w:rFonts w:ascii="宋体" w:hAnsi="宋体" w:cs="宋体"/>
          <w:b/>
          <w:sz w:val="30"/>
          <w:szCs w:val="44"/>
        </w:rPr>
      </w:pPr>
    </w:p>
    <w:p>
      <w:pPr>
        <w:rPr>
          <w:rFonts w:ascii="宋体" w:hAnsi="宋体" w:cs="宋体"/>
          <w:b/>
          <w:sz w:val="30"/>
          <w:szCs w:val="44"/>
        </w:rPr>
      </w:pPr>
    </w:p>
    <w:p>
      <w:pPr>
        <w:snapToGrid w:val="0"/>
        <w:spacing w:line="500" w:lineRule="exact"/>
        <w:ind w:firstLine="643" w:firstLineChars="200"/>
        <w:jc w:val="left"/>
        <w:rPr>
          <w:rFonts w:hint="eastAsia" w:hAnsi="仿宋_GB2312" w:cs="仿宋_GB2312"/>
          <w:b/>
          <w:kern w:val="0"/>
          <w:szCs w:val="32"/>
        </w:rPr>
      </w:pPr>
    </w:p>
    <w:p>
      <w:pPr>
        <w:snapToGrid w:val="0"/>
        <w:spacing w:line="500" w:lineRule="exact"/>
        <w:ind w:firstLine="3534" w:firstLineChars="1100"/>
        <w:jc w:val="both"/>
        <w:rPr>
          <w:rFonts w:hint="eastAsia" w:hAnsi="仿宋_GB2312" w:cs="仿宋_GB2312"/>
          <w:b/>
          <w:kern w:val="0"/>
          <w:szCs w:val="32"/>
        </w:rPr>
      </w:pPr>
    </w:p>
    <w:p>
      <w:pPr>
        <w:snapToGrid w:val="0"/>
        <w:spacing w:line="500" w:lineRule="exact"/>
        <w:ind w:firstLine="3534" w:firstLineChars="1100"/>
        <w:jc w:val="both"/>
        <w:rPr>
          <w:rFonts w:hint="eastAsia" w:hAnsi="仿宋_GB2312" w:cs="仿宋_GB2312"/>
          <w:b/>
          <w:kern w:val="0"/>
          <w:szCs w:val="32"/>
        </w:rPr>
      </w:pPr>
    </w:p>
    <w:p>
      <w:pPr>
        <w:snapToGrid w:val="0"/>
        <w:spacing w:line="500" w:lineRule="exact"/>
        <w:ind w:firstLine="3534" w:firstLineChars="1100"/>
        <w:jc w:val="both"/>
        <w:rPr>
          <w:rFonts w:hint="eastAsia" w:hAnsi="仿宋_GB2312" w:cs="仿宋_GB2312"/>
          <w:b/>
          <w:kern w:val="0"/>
          <w:szCs w:val="32"/>
        </w:rPr>
      </w:pPr>
    </w:p>
    <w:p>
      <w:pPr>
        <w:snapToGrid w:val="0"/>
        <w:spacing w:line="500" w:lineRule="exact"/>
        <w:ind w:firstLine="3534" w:firstLineChars="1100"/>
        <w:jc w:val="both"/>
        <w:rPr>
          <w:rFonts w:hint="eastAsia" w:hAnsi="仿宋_GB2312" w:cs="仿宋_GB2312"/>
          <w:b/>
          <w:kern w:val="0"/>
          <w:szCs w:val="32"/>
        </w:rPr>
      </w:pPr>
    </w:p>
    <w:p>
      <w:pPr>
        <w:snapToGrid w:val="0"/>
        <w:spacing w:line="500" w:lineRule="exact"/>
        <w:ind w:firstLine="3534" w:firstLineChars="1100"/>
        <w:jc w:val="both"/>
        <w:rPr>
          <w:rFonts w:hint="eastAsia" w:hAnsi="仿宋_GB2312" w:cs="仿宋_GB2312"/>
          <w:b/>
          <w:kern w:val="0"/>
          <w:szCs w:val="32"/>
        </w:rPr>
      </w:pPr>
    </w:p>
    <w:p>
      <w:pPr>
        <w:snapToGrid w:val="0"/>
        <w:spacing w:line="500" w:lineRule="exact"/>
        <w:ind w:firstLine="3534" w:firstLineChars="1100"/>
        <w:jc w:val="both"/>
        <w:rPr>
          <w:rFonts w:hint="eastAsia" w:hAnsi="仿宋_GB2312" w:cs="仿宋_GB2312"/>
          <w:kern w:val="0"/>
          <w:szCs w:val="32"/>
        </w:rPr>
      </w:pPr>
      <w:bookmarkStart w:id="0" w:name="_GoBack"/>
      <w:bookmarkEnd w:id="0"/>
      <w:r>
        <w:rPr>
          <w:rFonts w:hint="eastAsia" w:hAnsi="仿宋_GB2312" w:cs="仿宋_GB2312"/>
          <w:b/>
          <w:kern w:val="0"/>
          <w:szCs w:val="32"/>
        </w:rPr>
        <w:t>第一章　 总则</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第一条 根据我国法律、法规和房地产管理部门关于</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"http://china.findlaw.cn/fangdichan/wuyeguanli/"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物业管理</w:t>
      </w:r>
      <w:r>
        <w:rPr>
          <w:rFonts w:hint="eastAsia" w:hAnsi="仿宋_GB2312" w:cs="仿宋_GB2312"/>
          <w:kern w:val="0"/>
          <w:szCs w:val="32"/>
        </w:rPr>
        <w:fldChar w:fldCharType="end"/>
      </w:r>
      <w:r>
        <w:rPr>
          <w:rFonts w:hint="eastAsia" w:hAnsi="仿宋_GB2312" w:cs="仿宋_GB2312"/>
          <w:kern w:val="0"/>
          <w:szCs w:val="32"/>
        </w:rPr>
        <w:t>的相关规定，制定本办法。</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第二条 业主委员会的选举由上一届业主委员会主持。第一届业主委员会，由业主大会筹备小组在有关政府部门的指导下，按本办法选举产生。</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第三条 业主委员会的委员由业主大会选举产生。业主委员会成员每届任期三年，可以连选连任。业主委员会委员的人数是15名。业主委员会可以选举产生主任一名和副主任若干名。</w:t>
      </w:r>
    </w:p>
    <w:p>
      <w:pPr>
        <w:snapToGrid w:val="0"/>
        <w:spacing w:line="500" w:lineRule="exact"/>
        <w:ind w:firstLine="643" w:firstLineChars="200"/>
        <w:jc w:val="center"/>
        <w:rPr>
          <w:rFonts w:hint="eastAsia" w:hAnsi="仿宋_GB2312" w:cs="仿宋_GB2312"/>
          <w:kern w:val="0"/>
          <w:szCs w:val="32"/>
        </w:rPr>
      </w:pPr>
      <w:r>
        <w:rPr>
          <w:rFonts w:hint="eastAsia" w:hAnsi="仿宋_GB2312" w:cs="仿宋_GB2312"/>
          <w:b/>
          <w:kern w:val="0"/>
          <w:szCs w:val="32"/>
        </w:rPr>
        <w:t>第二章　 业主大会前期筹备工作</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第四条 为了召开业主大会，产生第一届业主委员会，可由业主代表，并请建设单位或物业管理企业组成筹备小组，负责业主大会的筹备工作。</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第五条 筹备小组成立后，其成员名单应在小区内张榜公示</w:t>
      </w:r>
      <w:r>
        <w:rPr>
          <w:rFonts w:hint="eastAsia" w:hAnsi="仿宋_GB2312" w:cs="仿宋_GB2312"/>
          <w:color w:val="000000"/>
          <w:kern w:val="0"/>
          <w:szCs w:val="32"/>
        </w:rPr>
        <w:t>一周以上</w:t>
      </w:r>
      <w:r>
        <w:rPr>
          <w:rFonts w:hint="eastAsia" w:hAnsi="仿宋_GB2312" w:cs="仿宋_GB2312"/>
          <w:kern w:val="0"/>
          <w:szCs w:val="32"/>
        </w:rPr>
        <w:t>，接受全体业主的监督。</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第六条 筹备小组应做好以下工作：</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(一)确定首次业主大会会议召开的时间、地点、形式和内容;</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(二)参照政府主管部门制定的示范文本，拟定《业主委员会章程》、《业主公约》、《业主大会议事规则》和《业主委员会选举办法》;</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(三)确定业主委员会委员候选人产生办法及名单;</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(四)做好召开首次业主大会会议的其他准备工作。</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第七条 按本选举办法选举产生第一届业主委员会后，筹备小组自动解散。</w:t>
      </w:r>
    </w:p>
    <w:p>
      <w:pPr>
        <w:snapToGrid w:val="0"/>
        <w:spacing w:line="500" w:lineRule="exact"/>
        <w:ind w:firstLine="643" w:firstLineChars="200"/>
        <w:jc w:val="center"/>
        <w:rPr>
          <w:rFonts w:hint="eastAsia" w:hAnsi="仿宋_GB2312" w:cs="仿宋_GB2312"/>
          <w:b/>
          <w:kern w:val="0"/>
          <w:szCs w:val="32"/>
        </w:rPr>
      </w:pPr>
      <w:r>
        <w:rPr>
          <w:rFonts w:hint="eastAsia" w:hAnsi="仿宋_GB2312" w:cs="仿宋_GB2312"/>
          <w:b/>
          <w:kern w:val="0"/>
          <w:szCs w:val="32"/>
        </w:rPr>
        <w:t>第三章　 业主大会</w:t>
      </w:r>
    </w:p>
    <w:p>
      <w:pPr>
        <w:snapToGrid w:val="0"/>
        <w:spacing w:line="500" w:lineRule="exact"/>
        <w:ind w:firstLine="640" w:firstLineChars="200"/>
        <w:jc w:val="left"/>
        <w:rPr>
          <w:rFonts w:hint="eastAsia" w:hAnsi="仿宋_GB2312" w:cs="仿宋_GB2312"/>
          <w:color w:val="000000"/>
          <w:kern w:val="0"/>
          <w:szCs w:val="32"/>
        </w:rPr>
      </w:pPr>
      <w:r>
        <w:rPr>
          <w:rFonts w:hint="eastAsia" w:hAnsi="仿宋_GB2312" w:cs="仿宋_GB2312"/>
          <w:color w:val="000000"/>
          <w:kern w:val="0"/>
          <w:szCs w:val="32"/>
        </w:rPr>
        <w:t>第八条 业主大会应由</w:t>
      </w:r>
      <w:r>
        <w:rPr>
          <w:rFonts w:hint="eastAsia" w:ascii="仿宋" w:hAnsi="仿宋" w:eastAsia="仿宋" w:cs="仿宋"/>
          <w:i w:val="0"/>
          <w:iCs w:val="0"/>
          <w:caps w:val="0"/>
          <w:color w:val="000000"/>
          <w:spacing w:val="0"/>
          <w:sz w:val="32"/>
          <w:szCs w:val="32"/>
          <w:shd w:val="clear" w:color="auto" w:fill="FFFFFF"/>
        </w:rPr>
        <w:t>专有部分面积占比三分之二以上且人数占比三分之二以上</w:t>
      </w:r>
      <w:r>
        <w:rPr>
          <w:rFonts w:hint="eastAsia" w:hAnsi="仿宋_GB2312" w:cs="仿宋_GB2312"/>
          <w:color w:val="000000"/>
          <w:kern w:val="0"/>
          <w:szCs w:val="32"/>
        </w:rPr>
        <w:t>具有投票权的业主参加，如因故不能出席，可以书面形式委托其他业主代理出席。</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第九条 业主大会采用书面征求意见的形式。书面征求意见书应用有效</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"http://china.findlaw.cn/bianhu/xsssfzs/songda/"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送达</w:t>
      </w:r>
      <w:r>
        <w:rPr>
          <w:rFonts w:hint="eastAsia" w:hAnsi="仿宋_GB2312" w:cs="仿宋_GB2312"/>
          <w:kern w:val="0"/>
          <w:szCs w:val="32"/>
        </w:rPr>
        <w:fldChar w:fldCharType="end"/>
      </w:r>
      <w:r>
        <w:rPr>
          <w:rFonts w:hint="eastAsia" w:hAnsi="仿宋_GB2312" w:cs="仿宋_GB2312"/>
          <w:kern w:val="0"/>
          <w:szCs w:val="32"/>
        </w:rPr>
        <w:t>方式。</w:t>
      </w:r>
    </w:p>
    <w:p>
      <w:pPr>
        <w:snapToGrid w:val="0"/>
        <w:spacing w:line="500" w:lineRule="exact"/>
        <w:ind w:firstLine="643" w:firstLineChars="200"/>
        <w:jc w:val="center"/>
        <w:rPr>
          <w:rFonts w:hint="eastAsia" w:hAnsi="仿宋_GB2312" w:cs="仿宋_GB2312"/>
          <w:kern w:val="0"/>
          <w:szCs w:val="32"/>
        </w:rPr>
      </w:pPr>
      <w:r>
        <w:rPr>
          <w:rFonts w:hint="eastAsia" w:hAnsi="仿宋_GB2312" w:cs="仿宋_GB2312"/>
          <w:b/>
          <w:kern w:val="0"/>
          <w:szCs w:val="32"/>
        </w:rPr>
        <w:t>第四章　 业主委员会选举办法</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第十条 业主委员会委员的候选人必须是热爱公益事业，道德品质好，责任心强，具有较强的组织能力和协调能力，有一定的时间从事业主委员会的工作，具有完全的</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"http://china.findlaw.cn/info/minshang/minfa/mshxwnl/"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民事行为能力</w:t>
      </w:r>
      <w:r>
        <w:rPr>
          <w:rFonts w:hint="eastAsia" w:hAnsi="仿宋_GB2312" w:cs="仿宋_GB2312"/>
          <w:kern w:val="0"/>
          <w:szCs w:val="32"/>
        </w:rPr>
        <w:fldChar w:fldCharType="end"/>
      </w:r>
      <w:r>
        <w:rPr>
          <w:rFonts w:hint="eastAsia" w:hAnsi="仿宋_GB2312" w:cs="仿宋_GB2312"/>
          <w:kern w:val="0"/>
          <w:szCs w:val="32"/>
        </w:rPr>
        <w:t>的产权人、产权共有人。候选人可由本人自荐、业主推荐或筹备组商议的方法产生，筹备小组或业主委员会进行最后资格确认。候选人产生后应公示一周。业主认为有必要补充推选候选人的，可由十个以上业主联名提出符合条件的候选人。候选人名单应在业主大会召开前至少七天提交筹备组并由其公示一周。</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第十一条 业主委员会选举，由业主大会筹备小组推选的召集人或上一届业主委员主任或主任指定的副主任主持。</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第十二条 业主委员会委员的选举，一律采用实名投票的方法。业主对于委员候选人可以投赞成票，可以另选其他业主，也可以弃权。业主应当提供本人有效身份证明和有效房产证明领取选票。</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第十三条 业主如果在业主大会期间因故不能到场的，可由本人填写选票后，以书面形式委托其他业主代为投递选票，并附上本人有效身份证明和有效房产证明。</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第十四条 投票结束后，由业主大会推选的监票、计票人员或者业主委员会的人员将投票人数和票数加以核对，做出记录，并由监票人签字。</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第十五条 每次选举所投的票数，多于投票人数的无效，等于或者少于投票人数的有效。每一选票所选的人数，多于规定应选代表人数的作废，等于或者少于规定应选代表人数的有效。</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color w:val="000000"/>
          <w:kern w:val="0"/>
          <w:szCs w:val="32"/>
        </w:rPr>
        <w:t>第十六条</w:t>
      </w:r>
      <w:r>
        <w:rPr>
          <w:rFonts w:hint="eastAsia" w:ascii="仿宋" w:hAnsi="仿宋" w:eastAsia="仿宋" w:cs="仿宋"/>
          <w:color w:val="000000"/>
          <w:kern w:val="0"/>
          <w:sz w:val="32"/>
          <w:szCs w:val="32"/>
        </w:rPr>
        <w:t xml:space="preserve"> </w:t>
      </w:r>
      <w:r>
        <w:rPr>
          <w:rFonts w:hint="eastAsia" w:ascii="仿宋" w:hAnsi="仿宋" w:eastAsia="仿宋" w:cs="仿宋"/>
          <w:i w:val="0"/>
          <w:iCs w:val="0"/>
          <w:caps w:val="0"/>
          <w:color w:val="000000"/>
          <w:spacing w:val="0"/>
          <w:sz w:val="32"/>
          <w:szCs w:val="32"/>
          <w:shd w:val="clear" w:color="auto" w:fill="FFFFFF"/>
        </w:rPr>
        <w:t>专有部分面积占比三分之二以上的业主且人数占比三分之二以上的业主</w:t>
      </w:r>
      <w:r>
        <w:rPr>
          <w:rFonts w:hint="eastAsia" w:hAnsi="仿宋_GB2312" w:cs="仿宋_GB2312"/>
          <w:color w:val="000000"/>
          <w:kern w:val="0"/>
          <w:szCs w:val="32"/>
        </w:rPr>
        <w:t>参加投票，</w:t>
      </w:r>
      <w:r>
        <w:rPr>
          <w:rFonts w:hint="eastAsia" w:hAnsi="仿宋_GB2312" w:cs="仿宋_GB2312"/>
          <w:kern w:val="0"/>
          <w:szCs w:val="32"/>
        </w:rPr>
        <w:t>选举有效。业主委员会委员选举采取差额选举办法，差额人数不超过两人。依据得票数顺序产生中选人。</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第十七条 如遇票数相等不能确定当选人时，应当就票数相等的候选人再次投票，以得票多的当选。</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第十八条 选举结果当场宣布，所有选票应当保留备查。</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第十九条 业主委员会的委员受全体业主的直接监督。经拥有物业管理区域内20%以上投票权数的业主提议可以提请罢免选出的委员。</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第二十条 业主委员会的委员有下列情况之一的，其业主委员会委员资格将终止，并由业主委员会提出并确认。业主委员会委员资格被终止后，可补选新的业主委员会委员，业主委员会可采用自荐或推荐的方法产生增补候选人，并经业主委员会2/3委员通过，成为补选业主委员会委员。</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(1)已不是业主的;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(2)年度内无故缺席业主委员会会议三次以上的;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(3)因疾病而丧失履行责任能力的;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(4)被司法部门认定有犯罪行为的;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(5)以书面形式向业主委员会提出辞呈的;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(6)兼任所辖区域物业管理企业工作的;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(7)其他原因不适宜担任业主委员会委员的。</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第二十一条 罢免业主委员会委员由业主大会做出决定。罢免采用实名投票的表决方式，须经过半数的业主代表通过。业主委员会委员被罢免后，按本办法中的补选业主委员会委员方法补选业主委员会委员。</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第二十二条 罢免要求应当写明罢免理由。被提请罢免的成员有权在业主大会上提出申辩意见，也可以书面提出申辩意见。</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第二十三条 离任委员必须在三日内将其保管的业主委员会的印章、文件、资料、帐簿及其属于业主委员会所有的财物等移交给业主委员会，造成经济损失的应承担经济责任。</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第二十四条 首次业主大会选举产生的业主委员会，应当自选举产生之日起30日内，向所在区物业管理行政主管部门申请登记备案。同意备案日期为业主委员会成立日期。</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第二十五条</w:t>
      </w:r>
      <w:r>
        <w:rPr>
          <w:rFonts w:hint="eastAsia" w:hAnsi="仿宋_GB2312" w:cs="仿宋_GB2312"/>
          <w:kern w:val="0"/>
          <w:szCs w:val="32"/>
          <w:lang w:val="en-US" w:eastAsia="zh-CN"/>
        </w:rPr>
        <w:t xml:space="preserve"> </w:t>
      </w:r>
      <w:r>
        <w:rPr>
          <w:rFonts w:hint="eastAsia" w:hAnsi="仿宋_GB2312" w:cs="仿宋_GB2312"/>
          <w:kern w:val="0"/>
          <w:szCs w:val="32"/>
        </w:rPr>
        <w:t>业主委员会成立时，上届业主委员会或第一届业主大会筹备组的工作职责终止，宣布解散。</w:t>
      </w:r>
    </w:p>
    <w:p>
      <w:pPr>
        <w:snapToGrid w:val="0"/>
        <w:spacing w:line="500" w:lineRule="exact"/>
        <w:ind w:firstLine="4176" w:firstLineChars="1300"/>
        <w:jc w:val="both"/>
        <w:rPr>
          <w:rFonts w:hint="eastAsia" w:hAnsi="仿宋_GB2312" w:cs="仿宋_GB2312"/>
          <w:b/>
          <w:kern w:val="0"/>
          <w:szCs w:val="32"/>
        </w:rPr>
      </w:pPr>
      <w:r>
        <w:rPr>
          <w:rFonts w:hint="eastAsia" w:hAnsi="仿宋_GB2312" w:cs="仿宋_GB2312"/>
          <w:b/>
          <w:kern w:val="0"/>
          <w:szCs w:val="32"/>
        </w:rPr>
        <w:t>第五章 附则</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第二十六条 本选举办法中称业主，是指物业产权人、产权人</w:t>
      </w:r>
      <w:r>
        <w:rPr>
          <w:rFonts w:hint="eastAsia" w:hAnsi="仿宋_GB2312" w:cs="仿宋_GB2312"/>
          <w:kern w:val="0"/>
          <w:szCs w:val="32"/>
          <w:lang w:val="en-US" w:eastAsia="zh-CN"/>
        </w:rPr>
        <w:t>代表</w:t>
      </w:r>
      <w:r>
        <w:rPr>
          <w:rFonts w:hint="eastAsia" w:hAnsi="仿宋_GB2312" w:cs="仿宋_GB2312"/>
          <w:kern w:val="0"/>
          <w:szCs w:val="32"/>
        </w:rPr>
        <w:t>产权共有人;本选举办法中称使用人，是指物业的承租人和实际使用人。</w:t>
      </w:r>
    </w:p>
    <w:p>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第二十七条 本选举办法未尽事宜按我国法律、法规和相关物业管理规定</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"http://china.findlaw.cn/info/zhixing/"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执行</w:t>
      </w:r>
      <w:r>
        <w:rPr>
          <w:rFonts w:hint="eastAsia" w:hAnsi="仿宋_GB2312" w:cs="仿宋_GB2312"/>
          <w:kern w:val="0"/>
          <w:szCs w:val="32"/>
        </w:rPr>
        <w:fldChar w:fldCharType="end"/>
      </w:r>
      <w:r>
        <w:rPr>
          <w:rFonts w:hint="eastAsia" w:hAnsi="仿宋_GB2312" w:cs="仿宋_GB2312"/>
          <w:kern w:val="0"/>
          <w:szCs w:val="32"/>
        </w:rPr>
        <w:t>。若与国家法律、法规</w:t>
      </w:r>
      <w:r>
        <w:rPr>
          <w:rFonts w:hint="eastAsia" w:hAnsi="仿宋_GB2312" w:cs="仿宋_GB2312"/>
          <w:kern w:val="0"/>
          <w:szCs w:val="32"/>
          <w:lang w:eastAsia="zh-CN"/>
        </w:rPr>
        <w:t>相</w:t>
      </w:r>
      <w:r>
        <w:rPr>
          <w:rFonts w:hint="eastAsia" w:hAnsi="仿宋_GB2312" w:cs="仿宋_GB2312"/>
          <w:kern w:val="0"/>
          <w:szCs w:val="32"/>
        </w:rPr>
        <w:t>抵触，按国家法律、法规执行。</w:t>
      </w:r>
    </w:p>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1014F"/>
    <w:rsid w:val="445F6F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86137</dc:creator>
  <cp:lastModifiedBy>LJW</cp:lastModifiedBy>
  <dcterms:modified xsi:type="dcterms:W3CDTF">2024-01-17T02:08:27Z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